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5D2385" w14:textId="77777777" w:rsidR="00B54A0A" w:rsidRDefault="00B54A0A" w:rsidP="00B54A0A">
      <w:pPr>
        <w:pBdr>
          <w:bottom w:val="single" w:sz="4" w:space="1" w:color="auto"/>
        </w:pBd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IMMUNISATION POLICY</w:t>
      </w:r>
    </w:p>
    <w:p w14:paraId="2F288227" w14:textId="77777777" w:rsidR="00B54A0A" w:rsidRDefault="00B54A0A" w:rsidP="00B54A0A">
      <w:pPr>
        <w:pBdr>
          <w:bottom w:val="single" w:sz="4" w:space="1" w:color="auto"/>
        </w:pBdr>
        <w:rPr>
          <w:rFonts w:ascii="Calibri" w:hAnsi="Calibri" w:cs="Calibri"/>
          <w:b/>
          <w:sz w:val="28"/>
          <w:szCs w:val="28"/>
        </w:rPr>
      </w:pPr>
    </w:p>
    <w:p w14:paraId="4015EE08" w14:textId="77777777" w:rsidR="00B54A0A" w:rsidRDefault="00B54A0A" w:rsidP="00B54A0A">
      <w:pPr>
        <w:pBdr>
          <w:bottom w:val="single" w:sz="4" w:space="1" w:color="auto"/>
        </w:pBd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Effective Date:  May 2016 (for implementation 2017 cohort)</w:t>
      </w:r>
    </w:p>
    <w:p w14:paraId="245976E9" w14:textId="5CAC3298" w:rsidR="00B54A0A" w:rsidRDefault="00B54A0A" w:rsidP="00B54A0A">
      <w:pPr>
        <w:pBdr>
          <w:bottom w:val="single" w:sz="4" w:space="1" w:color="auto"/>
        </w:pBd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Review Date:  May 20</w:t>
      </w:r>
      <w:r w:rsidR="00A656FD">
        <w:rPr>
          <w:rFonts w:ascii="Calibri" w:hAnsi="Calibri" w:cs="Calibri"/>
          <w:b/>
          <w:sz w:val="28"/>
          <w:szCs w:val="28"/>
        </w:rPr>
        <w:t>21</w:t>
      </w:r>
    </w:p>
    <w:p w14:paraId="17337F7F" w14:textId="77777777" w:rsidR="00B54A0A" w:rsidRDefault="00B54A0A" w:rsidP="00B54A0A">
      <w:pPr>
        <w:pBdr>
          <w:bottom w:val="single" w:sz="4" w:space="1" w:color="auto"/>
        </w:pBdr>
        <w:rPr>
          <w:rFonts w:ascii="Calibri" w:hAnsi="Calibri" w:cs="Calibri"/>
          <w:b/>
          <w:sz w:val="28"/>
          <w:szCs w:val="28"/>
        </w:rPr>
      </w:pPr>
    </w:p>
    <w:p w14:paraId="2DAEDD1E" w14:textId="77777777" w:rsidR="00B54A0A" w:rsidRPr="008A69E7" w:rsidRDefault="00B54A0A" w:rsidP="00B54A0A">
      <w:pPr>
        <w:pBdr>
          <w:bottom w:val="single" w:sz="4" w:space="1" w:color="auto"/>
        </w:pBdr>
        <w:rPr>
          <w:b/>
        </w:rPr>
      </w:pPr>
      <w:r w:rsidRPr="008A69E7">
        <w:rPr>
          <w:b/>
        </w:rPr>
        <w:t>Policy Objective</w:t>
      </w:r>
    </w:p>
    <w:p w14:paraId="2865814C" w14:textId="77777777" w:rsidR="00B54A0A" w:rsidRPr="008A69E7" w:rsidRDefault="00B54A0A" w:rsidP="00B54A0A">
      <w:pPr>
        <w:spacing w:before="240" w:after="240" w:line="276" w:lineRule="auto"/>
        <w:jc w:val="both"/>
      </w:pPr>
      <w:r w:rsidRPr="008A69E7">
        <w:fldChar w:fldCharType="begin"/>
      </w:r>
      <w:r w:rsidRPr="008A69E7">
        <w:instrText xml:space="preserve"> MACROBUTTON  AcceptAllChangesInDoc </w:instrText>
      </w:r>
      <w:r w:rsidRPr="008A69E7">
        <w:fldChar w:fldCharType="end"/>
      </w:r>
      <w:r w:rsidRPr="008A69E7">
        <w:fldChar w:fldCharType="begin"/>
      </w:r>
      <w:r w:rsidRPr="008A69E7">
        <w:instrText xml:space="preserve"> MACROBUTTON  AcceptAllChangesInDoc </w:instrText>
      </w:r>
      <w:r w:rsidRPr="008A69E7">
        <w:fldChar w:fldCharType="end"/>
      </w:r>
      <w:r w:rsidRPr="008A69E7">
        <w:t xml:space="preserve">Immunisation is a simple, safe and effective way of protecting people against harmful diseases that can cause serious health problems in the community. Immunisation not only protects individuals from life-threatening diseases, but also dramatically reduces transmission in the community. The more people who are </w:t>
      </w:r>
      <w:r>
        <w:t>immunised</w:t>
      </w:r>
      <w:r w:rsidRPr="008A69E7">
        <w:t>, the fewer opportunities a disease has to spread.</w:t>
      </w:r>
    </w:p>
    <w:p w14:paraId="591DF954" w14:textId="77777777" w:rsidR="00B54A0A" w:rsidRPr="008A69E7" w:rsidRDefault="00B54A0A" w:rsidP="00B54A0A">
      <w:pPr>
        <w:spacing w:before="240" w:after="240" w:line="276" w:lineRule="auto"/>
        <w:jc w:val="both"/>
      </w:pPr>
      <w:r w:rsidRPr="008A69E7">
        <w:t>This policy aims to minimise the spread of vaccine preventable diseases in accordance with the current recommendations of the Australian Health Protection Principal Committee (AHPPC).</w:t>
      </w:r>
    </w:p>
    <w:p w14:paraId="6DF2F89C" w14:textId="77777777" w:rsidR="00B54A0A" w:rsidRPr="008A69E7" w:rsidRDefault="00B54A0A" w:rsidP="00B54A0A">
      <w:pPr>
        <w:pBdr>
          <w:bottom w:val="single" w:sz="4" w:space="1" w:color="auto"/>
        </w:pBdr>
        <w:spacing w:before="120" w:line="276" w:lineRule="auto"/>
        <w:rPr>
          <w:b/>
        </w:rPr>
      </w:pPr>
      <w:r w:rsidRPr="008A69E7">
        <w:rPr>
          <w:b/>
        </w:rPr>
        <w:t xml:space="preserve">                                                          </w:t>
      </w:r>
      <w:r w:rsidRPr="008A69E7">
        <w:rPr>
          <w:b/>
        </w:rPr>
        <w:tab/>
      </w:r>
      <w:r w:rsidRPr="008A69E7">
        <w:rPr>
          <w:b/>
        </w:rPr>
        <w:tab/>
      </w:r>
      <w:r w:rsidRPr="008A69E7">
        <w:rPr>
          <w:b/>
        </w:rPr>
        <w:tab/>
      </w:r>
      <w:r w:rsidRPr="008A69E7">
        <w:rPr>
          <w:b/>
        </w:rPr>
        <w:tab/>
      </w:r>
      <w:r w:rsidRPr="008A69E7">
        <w:rPr>
          <w:b/>
        </w:rPr>
        <w:tab/>
      </w:r>
      <w:r w:rsidRPr="008A69E7">
        <w:rPr>
          <w:b/>
        </w:rPr>
        <w:tab/>
        <w:t xml:space="preserve">              </w:t>
      </w:r>
    </w:p>
    <w:p w14:paraId="1D38647F" w14:textId="77777777" w:rsidR="00B54A0A" w:rsidRPr="008A69E7" w:rsidRDefault="00B54A0A" w:rsidP="00B54A0A">
      <w:pPr>
        <w:pBdr>
          <w:bottom w:val="single" w:sz="4" w:space="1" w:color="auto"/>
        </w:pBdr>
        <w:spacing w:line="276" w:lineRule="auto"/>
        <w:rPr>
          <w:b/>
        </w:rPr>
      </w:pPr>
      <w:r>
        <w:rPr>
          <w:b/>
        </w:rPr>
        <w:t>Procedure</w:t>
      </w:r>
    </w:p>
    <w:p w14:paraId="17741E4D" w14:textId="77777777" w:rsidR="00B54A0A" w:rsidRDefault="00B54A0A" w:rsidP="00B54A0A">
      <w:pPr>
        <w:spacing w:before="240" w:after="240" w:line="276" w:lineRule="auto"/>
        <w:jc w:val="both"/>
      </w:pPr>
      <w:r>
        <w:t xml:space="preserve">Children who are not immunised in accordance with the National Immunisation Program Schedule will not be eligible for enrolment or continued attendance at West Chermside C&amp;K Pre-Prep.  </w:t>
      </w:r>
    </w:p>
    <w:p w14:paraId="5CBB325C" w14:textId="77777777" w:rsidR="00B54A0A" w:rsidRDefault="00B54A0A" w:rsidP="00B54A0A">
      <w:pPr>
        <w:spacing w:before="240" w:after="240" w:line="276" w:lineRule="auto"/>
        <w:jc w:val="both"/>
      </w:pPr>
      <w:r>
        <w:t xml:space="preserve">Special consideration will be given to children who are not immunised due to an “approved medical exemption” as facilitated by a Medical Practitioner and registered with ACIR.  Under Australian Government legislation, “conscientious objection” has been removed as a reason for immunisation exemption.  </w:t>
      </w:r>
    </w:p>
    <w:p w14:paraId="1487CAB7" w14:textId="77777777" w:rsidR="00B54A0A" w:rsidRPr="008D400D" w:rsidRDefault="00B54A0A" w:rsidP="00B54A0A">
      <w:pPr>
        <w:spacing w:before="240" w:after="240" w:line="276" w:lineRule="auto"/>
        <w:jc w:val="both"/>
        <w:rPr>
          <w:u w:val="single"/>
        </w:rPr>
      </w:pPr>
      <w:r w:rsidRPr="008D400D">
        <w:rPr>
          <w:u w:val="single"/>
        </w:rPr>
        <w:t>Responsibilities of Parent’s / G</w:t>
      </w:r>
      <w:r>
        <w:rPr>
          <w:u w:val="single"/>
        </w:rPr>
        <w:t>uardians</w:t>
      </w:r>
    </w:p>
    <w:p w14:paraId="38789969" w14:textId="77777777" w:rsidR="00B54A0A" w:rsidRDefault="00B54A0A" w:rsidP="00B54A0A">
      <w:pPr>
        <w:pStyle w:val="ListParagraph"/>
        <w:numPr>
          <w:ilvl w:val="0"/>
          <w:numId w:val="2"/>
        </w:numPr>
        <w:spacing w:before="240" w:after="240" w:line="276" w:lineRule="auto"/>
        <w:jc w:val="both"/>
      </w:pPr>
      <w:r>
        <w:t xml:space="preserve">At the time of </w:t>
      </w:r>
      <w:r w:rsidRPr="008A69E7">
        <w:t>enrolment, the parent or guardian must provide documentary evidence of the immunisation history</w:t>
      </w:r>
      <w:r>
        <w:t xml:space="preserve"> of the child to the service and acknowledge the West Chermside C&amp;K Pre-Prep policy on immunisation.</w:t>
      </w:r>
      <w:r w:rsidRPr="008A69E7">
        <w:t xml:space="preserve">   </w:t>
      </w:r>
    </w:p>
    <w:p w14:paraId="05A21D33" w14:textId="77777777" w:rsidR="00B54A0A" w:rsidRDefault="00B54A0A" w:rsidP="00B54A0A">
      <w:pPr>
        <w:pStyle w:val="ListParagraph"/>
        <w:numPr>
          <w:ilvl w:val="1"/>
          <w:numId w:val="2"/>
        </w:numPr>
        <w:spacing w:before="240" w:after="240" w:line="276" w:lineRule="auto"/>
        <w:jc w:val="both"/>
      </w:pPr>
      <w:r w:rsidRPr="008A69E7">
        <w:t>Approved documentary evidence includes an official record issued by the Australian Childhood Immunisation Register (ACIR) or a letter from a recognised immunisation provider (General Practitioner or recognised immunisation nurse) which clearly states whether the child’</w:t>
      </w:r>
      <w:r>
        <w:t>s immunisation status as</w:t>
      </w:r>
      <w:r w:rsidRPr="008A69E7">
        <w:t xml:space="preserve"> up to date or not as per the National Immunisation Program Schedule (QLD).  </w:t>
      </w:r>
    </w:p>
    <w:p w14:paraId="3746EF04" w14:textId="77777777" w:rsidR="00B54A0A" w:rsidRDefault="00B54A0A" w:rsidP="00B54A0A">
      <w:pPr>
        <w:pStyle w:val="ListParagraph"/>
        <w:numPr>
          <w:ilvl w:val="1"/>
          <w:numId w:val="2"/>
        </w:numPr>
        <w:spacing w:before="240" w:after="240" w:line="276" w:lineRule="auto"/>
        <w:jc w:val="both"/>
      </w:pPr>
      <w:r w:rsidRPr="008A69E7">
        <w:t>If a child’</w:t>
      </w:r>
      <w:r>
        <w:t>s</w:t>
      </w:r>
      <w:r w:rsidRPr="008A69E7">
        <w:t xml:space="preserve"> immunisation status is not known or the parent / guardian cannot provide approved documentary evidence, the child’s immunisation status will be considered “not up to date”</w:t>
      </w:r>
      <w:r>
        <w:t xml:space="preserve"> and they will be ineligible for enrolment. </w:t>
      </w:r>
      <w:r w:rsidRPr="008A69E7">
        <w:t xml:space="preserve"> </w:t>
      </w:r>
      <w:r>
        <w:t xml:space="preserve">   </w:t>
      </w:r>
    </w:p>
    <w:p w14:paraId="374C3CDA" w14:textId="77777777" w:rsidR="00B54A0A" w:rsidRDefault="00B54A0A" w:rsidP="00B54A0A">
      <w:pPr>
        <w:pStyle w:val="ListParagraph"/>
        <w:spacing w:before="240" w:after="240" w:line="276" w:lineRule="auto"/>
        <w:jc w:val="both"/>
      </w:pPr>
    </w:p>
    <w:p w14:paraId="02C74D38" w14:textId="77777777" w:rsidR="00B54A0A" w:rsidRDefault="00B54A0A" w:rsidP="00B54A0A">
      <w:pPr>
        <w:pStyle w:val="ListParagraph"/>
        <w:numPr>
          <w:ilvl w:val="0"/>
          <w:numId w:val="2"/>
        </w:numPr>
        <w:spacing w:before="240" w:after="240" w:line="276" w:lineRule="auto"/>
        <w:jc w:val="both"/>
      </w:pPr>
      <w:r>
        <w:t>Notify the service of any immunisation status updates of the child.</w:t>
      </w:r>
    </w:p>
    <w:p w14:paraId="32E9FE8A" w14:textId="77777777" w:rsidR="00B54A0A" w:rsidRDefault="00B54A0A" w:rsidP="00B54A0A">
      <w:pPr>
        <w:pStyle w:val="ListParagraph"/>
      </w:pPr>
    </w:p>
    <w:p w14:paraId="55D6B985" w14:textId="77777777" w:rsidR="00B54A0A" w:rsidRPr="008A69E7" w:rsidRDefault="00B54A0A" w:rsidP="00B54A0A">
      <w:pPr>
        <w:pStyle w:val="ListParagraph"/>
        <w:numPr>
          <w:ilvl w:val="0"/>
          <w:numId w:val="2"/>
        </w:numPr>
        <w:spacing w:before="240" w:after="240" w:line="276" w:lineRule="auto"/>
        <w:jc w:val="both"/>
      </w:pPr>
      <w:r>
        <w:lastRenderedPageBreak/>
        <w:t xml:space="preserve">Notify the service if their child has been diagnosed with a vaccine preventable disease or has been in contact with someone who has been diagnosed with a vaccine preventable disease. </w:t>
      </w:r>
    </w:p>
    <w:p w14:paraId="2997F571" w14:textId="77777777" w:rsidR="00B54A0A" w:rsidRDefault="00B54A0A" w:rsidP="00B54A0A">
      <w:pPr>
        <w:spacing w:before="240" w:after="240" w:line="276" w:lineRule="auto"/>
        <w:rPr>
          <w:u w:val="single"/>
        </w:rPr>
      </w:pPr>
      <w:r>
        <w:rPr>
          <w:u w:val="single"/>
        </w:rPr>
        <w:t>Responsibilities of educators and staff of West Chermside C&amp;K Pre Prep</w:t>
      </w:r>
    </w:p>
    <w:p w14:paraId="45AFA686" w14:textId="77777777" w:rsidR="00B54A0A" w:rsidRPr="00164FDA" w:rsidRDefault="00B54A0A" w:rsidP="00B54A0A">
      <w:pPr>
        <w:pStyle w:val="ListParagraph"/>
        <w:numPr>
          <w:ilvl w:val="0"/>
          <w:numId w:val="3"/>
        </w:numPr>
        <w:spacing w:before="240" w:after="240" w:line="276" w:lineRule="auto"/>
        <w:rPr>
          <w:u w:val="single"/>
        </w:rPr>
      </w:pPr>
      <w:r>
        <w:t>Upon enrolment, inform parents / guardians of the immunisation policy of the service.</w:t>
      </w:r>
    </w:p>
    <w:p w14:paraId="7E943E8A" w14:textId="77777777" w:rsidR="00B54A0A" w:rsidRPr="0081548B" w:rsidRDefault="00B54A0A" w:rsidP="00B54A0A">
      <w:pPr>
        <w:pStyle w:val="ListParagraph"/>
        <w:spacing w:before="240" w:after="240" w:line="276" w:lineRule="auto"/>
        <w:rPr>
          <w:u w:val="single"/>
        </w:rPr>
      </w:pPr>
    </w:p>
    <w:p w14:paraId="18302880" w14:textId="77777777" w:rsidR="00B54A0A" w:rsidRPr="00164FDA" w:rsidRDefault="00B54A0A" w:rsidP="00B54A0A">
      <w:pPr>
        <w:pStyle w:val="ListParagraph"/>
        <w:numPr>
          <w:ilvl w:val="0"/>
          <w:numId w:val="3"/>
        </w:numPr>
        <w:spacing w:before="240" w:after="240" w:line="276" w:lineRule="auto"/>
        <w:rPr>
          <w:u w:val="single"/>
        </w:rPr>
      </w:pPr>
      <w:r>
        <w:t>Maintain current records of children’s immunisation status.</w:t>
      </w:r>
    </w:p>
    <w:p w14:paraId="0A8E6D6D" w14:textId="77777777" w:rsidR="00B54A0A" w:rsidRPr="00164FDA" w:rsidRDefault="00B54A0A" w:rsidP="00B54A0A">
      <w:pPr>
        <w:pStyle w:val="ListParagraph"/>
        <w:rPr>
          <w:u w:val="single"/>
        </w:rPr>
      </w:pPr>
    </w:p>
    <w:p w14:paraId="1508A78C" w14:textId="77777777" w:rsidR="00B54A0A" w:rsidRPr="00164FDA" w:rsidRDefault="00B54A0A" w:rsidP="00B54A0A">
      <w:pPr>
        <w:pStyle w:val="ListParagraph"/>
        <w:numPr>
          <w:ilvl w:val="0"/>
          <w:numId w:val="3"/>
        </w:numPr>
        <w:spacing w:before="240" w:after="240" w:line="276" w:lineRule="auto"/>
        <w:rPr>
          <w:u w:val="single"/>
        </w:rPr>
      </w:pPr>
      <w:r>
        <w:t xml:space="preserve">If children are not immunised in accordance with this policy, inform parents / guardians that the child will not be able to attend West Chermside C&amp;K Pre-Prep. </w:t>
      </w:r>
    </w:p>
    <w:p w14:paraId="08105B23" w14:textId="77777777" w:rsidR="00B54A0A" w:rsidRPr="00164FDA" w:rsidRDefault="00B54A0A" w:rsidP="00B54A0A">
      <w:pPr>
        <w:pStyle w:val="ListParagraph"/>
        <w:rPr>
          <w:u w:val="single"/>
        </w:rPr>
      </w:pPr>
    </w:p>
    <w:p w14:paraId="768506CF" w14:textId="77777777" w:rsidR="00B54A0A" w:rsidRPr="00164FDA" w:rsidRDefault="00B54A0A" w:rsidP="00B54A0A">
      <w:pPr>
        <w:pStyle w:val="ListParagraph"/>
        <w:numPr>
          <w:ilvl w:val="0"/>
          <w:numId w:val="3"/>
        </w:numPr>
        <w:spacing w:before="240" w:after="240" w:line="276" w:lineRule="auto"/>
        <w:rPr>
          <w:u w:val="single"/>
        </w:rPr>
      </w:pPr>
      <w:r>
        <w:t>Implement C&amp;K health and hygiene procedures to prevent the spread of infectious illnesses and vaccine preventable disease.</w:t>
      </w:r>
    </w:p>
    <w:p w14:paraId="68631CC5" w14:textId="77777777" w:rsidR="00B54A0A" w:rsidRPr="00164FDA" w:rsidRDefault="00B54A0A" w:rsidP="00B54A0A">
      <w:pPr>
        <w:pStyle w:val="ListParagraph"/>
        <w:rPr>
          <w:u w:val="single"/>
        </w:rPr>
      </w:pPr>
    </w:p>
    <w:p w14:paraId="3D53AF39" w14:textId="77777777" w:rsidR="00B54A0A" w:rsidRPr="00164FDA" w:rsidRDefault="00B54A0A" w:rsidP="00B54A0A">
      <w:pPr>
        <w:pStyle w:val="ListParagraph"/>
        <w:numPr>
          <w:ilvl w:val="0"/>
          <w:numId w:val="3"/>
        </w:numPr>
        <w:spacing w:before="240" w:after="240" w:line="276" w:lineRule="auto"/>
        <w:rPr>
          <w:u w:val="single"/>
        </w:rPr>
      </w:pPr>
      <w:r>
        <w:t xml:space="preserve">Provide the service with a staff immunisation record and ensure that this record is current throughout employment in accordance with the National Immunisation Program Schedule.  Recommended immunisations for educators in addition to the NIPS include: Hepatitis A; Measles / Mumps / Rubella; Chicken Pox; Pertussis; Influenza.  </w:t>
      </w:r>
    </w:p>
    <w:p w14:paraId="4E75E8A3" w14:textId="77777777" w:rsidR="00B54A0A" w:rsidRPr="00164FDA" w:rsidRDefault="00B54A0A" w:rsidP="00B54A0A">
      <w:pPr>
        <w:pStyle w:val="ListParagraph"/>
        <w:rPr>
          <w:u w:val="single"/>
        </w:rPr>
      </w:pPr>
    </w:p>
    <w:p w14:paraId="1C6A8145" w14:textId="77777777" w:rsidR="00B54A0A" w:rsidRPr="0081548B" w:rsidRDefault="00B54A0A" w:rsidP="00B54A0A">
      <w:pPr>
        <w:pStyle w:val="ListParagraph"/>
        <w:numPr>
          <w:ilvl w:val="0"/>
          <w:numId w:val="3"/>
        </w:numPr>
        <w:spacing w:before="240" w:after="240" w:line="276" w:lineRule="auto"/>
        <w:rPr>
          <w:u w:val="single"/>
        </w:rPr>
      </w:pPr>
      <w:r>
        <w:t xml:space="preserve">Notify the service if they have been diagnosed with a vaccine preventable disease or have been in contact with someone who has been diagnosed with a vaccine preventable disease. </w:t>
      </w:r>
    </w:p>
    <w:p w14:paraId="3CEDF58E" w14:textId="77777777" w:rsidR="00676F51" w:rsidRDefault="00676F51"/>
    <w:p w14:paraId="0FF218FD" w14:textId="77777777" w:rsidR="00B54A0A" w:rsidRDefault="00B54A0A" w:rsidP="00B54A0A">
      <w:pPr>
        <w:pBdr>
          <w:bottom w:val="single" w:sz="4" w:space="1" w:color="auto"/>
        </w:pBdr>
        <w:rPr>
          <w:b/>
        </w:rPr>
      </w:pPr>
      <w:r w:rsidRPr="008A69E7">
        <w:rPr>
          <w:b/>
        </w:rPr>
        <w:t>Relevant Legislation &amp; Resources</w:t>
      </w:r>
    </w:p>
    <w:p w14:paraId="55B55190" w14:textId="77777777" w:rsidR="00B54A0A" w:rsidRPr="008D400D" w:rsidRDefault="00B54A0A" w:rsidP="00B54A0A">
      <w:pPr>
        <w:pStyle w:val="BodyText2"/>
        <w:numPr>
          <w:ilvl w:val="0"/>
          <w:numId w:val="1"/>
        </w:numPr>
        <w:spacing w:before="120" w:line="276" w:lineRule="auto"/>
        <w:rPr>
          <w:rFonts w:ascii="Times New Roman" w:hAnsi="Times New Roman"/>
          <w:i/>
          <w:sz w:val="24"/>
          <w:szCs w:val="24"/>
        </w:rPr>
      </w:pPr>
      <w:r w:rsidRPr="008A69E7">
        <w:rPr>
          <w:rFonts w:ascii="Times New Roman" w:hAnsi="Times New Roman"/>
          <w:sz w:val="24"/>
          <w:szCs w:val="24"/>
        </w:rPr>
        <w:t>Public Health Act 2005: Section 160A, Section 160</w:t>
      </w:r>
      <w:r>
        <w:rPr>
          <w:rFonts w:ascii="Times New Roman" w:hAnsi="Times New Roman"/>
          <w:sz w:val="24"/>
          <w:szCs w:val="24"/>
        </w:rPr>
        <w:t>D</w:t>
      </w:r>
    </w:p>
    <w:p w14:paraId="2806EF3C" w14:textId="77777777" w:rsidR="00B54A0A" w:rsidRPr="008D400D" w:rsidRDefault="00B54A0A" w:rsidP="00B54A0A">
      <w:pPr>
        <w:pStyle w:val="BodyText2"/>
        <w:numPr>
          <w:ilvl w:val="0"/>
          <w:numId w:val="1"/>
        </w:numPr>
        <w:spacing w:before="120" w:line="276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Immunise Australia Program</w:t>
      </w:r>
    </w:p>
    <w:p w14:paraId="2D14962F" w14:textId="77777777" w:rsidR="00B54A0A" w:rsidRPr="008D400D" w:rsidRDefault="00B54A0A" w:rsidP="00B54A0A">
      <w:pPr>
        <w:pStyle w:val="BodyText2"/>
        <w:numPr>
          <w:ilvl w:val="1"/>
          <w:numId w:val="1"/>
        </w:numPr>
        <w:spacing w:before="120" w:line="276" w:lineRule="auto"/>
        <w:rPr>
          <w:rFonts w:ascii="Times New Roman" w:hAnsi="Times New Roman"/>
          <w:i/>
          <w:sz w:val="24"/>
          <w:szCs w:val="24"/>
        </w:rPr>
      </w:pPr>
      <w:r w:rsidRPr="008D400D">
        <w:rPr>
          <w:rFonts w:ascii="Times New Roman" w:hAnsi="Times New Roman"/>
          <w:i/>
          <w:sz w:val="24"/>
          <w:szCs w:val="24"/>
        </w:rPr>
        <w:t>ht</w:t>
      </w:r>
      <w:r>
        <w:rPr>
          <w:rFonts w:ascii="Times New Roman" w:hAnsi="Times New Roman"/>
          <w:i/>
          <w:sz w:val="24"/>
          <w:szCs w:val="24"/>
        </w:rPr>
        <w:t>tp://www.immunise.health.gov.au</w:t>
      </w:r>
    </w:p>
    <w:p w14:paraId="09D24432" w14:textId="77777777" w:rsidR="00B54A0A" w:rsidRPr="008A69E7" w:rsidRDefault="00B54A0A" w:rsidP="00B54A0A">
      <w:pPr>
        <w:pStyle w:val="BodyText2"/>
        <w:numPr>
          <w:ilvl w:val="0"/>
          <w:numId w:val="1"/>
        </w:numPr>
        <w:spacing w:before="120" w:line="276" w:lineRule="auto"/>
        <w:rPr>
          <w:rFonts w:ascii="Times New Roman" w:hAnsi="Times New Roman"/>
          <w:i/>
          <w:sz w:val="24"/>
          <w:szCs w:val="24"/>
        </w:rPr>
      </w:pPr>
      <w:r w:rsidRPr="008A69E7">
        <w:rPr>
          <w:rFonts w:ascii="Times New Roman" w:hAnsi="Times New Roman"/>
          <w:sz w:val="24"/>
          <w:szCs w:val="24"/>
        </w:rPr>
        <w:t>National Immunisation Program</w:t>
      </w:r>
      <w:r>
        <w:rPr>
          <w:rFonts w:ascii="Times New Roman" w:hAnsi="Times New Roman"/>
          <w:sz w:val="24"/>
          <w:szCs w:val="24"/>
        </w:rPr>
        <w:t xml:space="preserve"> (NIP)</w:t>
      </w:r>
      <w:r w:rsidRPr="008A69E7">
        <w:rPr>
          <w:rFonts w:ascii="Times New Roman" w:hAnsi="Times New Roman"/>
          <w:sz w:val="24"/>
          <w:szCs w:val="24"/>
        </w:rPr>
        <w:t xml:space="preserve"> Schedule </w:t>
      </w:r>
    </w:p>
    <w:p w14:paraId="628EF1B4" w14:textId="77777777" w:rsidR="00B54A0A" w:rsidRPr="008A69E7" w:rsidRDefault="00B54A0A" w:rsidP="00B54A0A">
      <w:pPr>
        <w:pStyle w:val="BodyText2"/>
        <w:numPr>
          <w:ilvl w:val="1"/>
          <w:numId w:val="1"/>
        </w:numPr>
        <w:spacing w:before="120" w:line="276" w:lineRule="auto"/>
        <w:rPr>
          <w:rFonts w:ascii="Times New Roman" w:hAnsi="Times New Roman"/>
          <w:i/>
          <w:sz w:val="24"/>
          <w:szCs w:val="24"/>
        </w:rPr>
      </w:pPr>
      <w:r w:rsidRPr="008A69E7">
        <w:rPr>
          <w:rFonts w:ascii="Times New Roman" w:hAnsi="Times New Roman"/>
          <w:i/>
          <w:sz w:val="24"/>
          <w:szCs w:val="24"/>
        </w:rPr>
        <w:t>http://www.immunise.health.gov.au/internet/immunise/publishing.nsf/Content/national-immunisation-program-schedule</w:t>
      </w:r>
    </w:p>
    <w:p w14:paraId="20DB616E" w14:textId="77777777" w:rsidR="00B54A0A" w:rsidRPr="008A69E7" w:rsidRDefault="00B54A0A" w:rsidP="00B54A0A">
      <w:pPr>
        <w:pStyle w:val="BodyText2"/>
        <w:numPr>
          <w:ilvl w:val="0"/>
          <w:numId w:val="1"/>
        </w:numPr>
        <w:spacing w:before="120" w:line="276" w:lineRule="auto"/>
        <w:rPr>
          <w:rFonts w:ascii="Times New Roman" w:hAnsi="Times New Roman"/>
          <w:i/>
          <w:sz w:val="24"/>
          <w:szCs w:val="24"/>
        </w:rPr>
      </w:pPr>
      <w:r w:rsidRPr="008A69E7">
        <w:rPr>
          <w:rFonts w:ascii="Times New Roman" w:hAnsi="Times New Roman"/>
          <w:sz w:val="24"/>
          <w:szCs w:val="24"/>
        </w:rPr>
        <w:t>The Australian Childhood Immunisation Register</w:t>
      </w:r>
    </w:p>
    <w:p w14:paraId="1B35870A" w14:textId="77777777" w:rsidR="00B54A0A" w:rsidRPr="008D400D" w:rsidRDefault="00A656FD" w:rsidP="00B54A0A">
      <w:pPr>
        <w:pStyle w:val="BodyText2"/>
        <w:numPr>
          <w:ilvl w:val="1"/>
          <w:numId w:val="1"/>
        </w:numPr>
        <w:spacing w:before="120" w:line="276" w:lineRule="auto"/>
        <w:rPr>
          <w:rFonts w:ascii="Times New Roman" w:hAnsi="Times New Roman"/>
          <w:i/>
          <w:color w:val="000000" w:themeColor="text1"/>
          <w:sz w:val="24"/>
          <w:szCs w:val="24"/>
        </w:rPr>
      </w:pPr>
      <w:hyperlink r:id="rId5" w:history="1">
        <w:r w:rsidR="00B54A0A" w:rsidRPr="008D400D">
          <w:rPr>
            <w:rStyle w:val="Hyperlink"/>
            <w:rFonts w:ascii="Times New Roman" w:hAnsi="Times New Roman"/>
            <w:i/>
            <w:color w:val="000000" w:themeColor="text1"/>
            <w:sz w:val="24"/>
            <w:szCs w:val="24"/>
            <w:u w:val="none"/>
          </w:rPr>
          <w:t>acir@medicareaustralia.gov.au</w:t>
        </w:r>
      </w:hyperlink>
      <w:r w:rsidR="00B54A0A" w:rsidRPr="008D400D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</w:p>
    <w:p w14:paraId="6F8A4872" w14:textId="77777777" w:rsidR="00B54A0A" w:rsidRPr="008D400D" w:rsidRDefault="00B54A0A" w:rsidP="00B54A0A">
      <w:pPr>
        <w:pStyle w:val="BodyText2"/>
        <w:numPr>
          <w:ilvl w:val="1"/>
          <w:numId w:val="1"/>
        </w:numPr>
        <w:spacing w:before="120" w:line="276" w:lineRule="auto"/>
        <w:rPr>
          <w:rFonts w:ascii="Times New Roman" w:hAnsi="Times New Roman"/>
          <w:i/>
          <w:sz w:val="24"/>
          <w:szCs w:val="24"/>
        </w:rPr>
      </w:pPr>
      <w:r w:rsidRPr="008A69E7">
        <w:rPr>
          <w:rFonts w:ascii="Times New Roman" w:hAnsi="Times New Roman"/>
          <w:sz w:val="24"/>
          <w:szCs w:val="24"/>
        </w:rPr>
        <w:t>Ph 1800 653 809</w:t>
      </w:r>
    </w:p>
    <w:p w14:paraId="270A3800" w14:textId="77777777" w:rsidR="00B54A0A" w:rsidRPr="00B54A0A" w:rsidRDefault="00B54A0A" w:rsidP="00B54A0A">
      <w:pPr>
        <w:pStyle w:val="BodyText2"/>
        <w:numPr>
          <w:ilvl w:val="0"/>
          <w:numId w:val="1"/>
        </w:numPr>
        <w:spacing w:before="120" w:line="276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Australian Immunisation Handbook, 10</w:t>
      </w:r>
      <w:r w:rsidRPr="00B54A0A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Edition</w:t>
      </w:r>
    </w:p>
    <w:p w14:paraId="4E1311C5" w14:textId="77777777" w:rsidR="00B54A0A" w:rsidRPr="008A69E7" w:rsidRDefault="00B54A0A" w:rsidP="00B54A0A">
      <w:pPr>
        <w:pStyle w:val="BodyText2"/>
        <w:numPr>
          <w:ilvl w:val="1"/>
          <w:numId w:val="1"/>
        </w:numPr>
        <w:spacing w:before="120" w:line="276" w:lineRule="auto"/>
        <w:rPr>
          <w:rFonts w:ascii="Times New Roman" w:hAnsi="Times New Roman"/>
          <w:i/>
          <w:sz w:val="24"/>
          <w:szCs w:val="24"/>
        </w:rPr>
      </w:pPr>
      <w:r w:rsidRPr="00B54A0A">
        <w:rPr>
          <w:rFonts w:ascii="Times New Roman" w:hAnsi="Times New Roman"/>
          <w:i/>
          <w:sz w:val="24"/>
          <w:szCs w:val="24"/>
        </w:rPr>
        <w:t>http://www.immunise.health.gov.au/internet/immunise/publishing.nsf/Content/Handbook10-home</w:t>
      </w:r>
    </w:p>
    <w:p w14:paraId="4C9D8E21" w14:textId="77777777" w:rsidR="00B54A0A" w:rsidRDefault="00B54A0A"/>
    <w:sectPr w:rsidR="00B54A0A" w:rsidSect="00676F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A2F52"/>
    <w:multiLevelType w:val="hybridMultilevel"/>
    <w:tmpl w:val="9B20AB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32F33"/>
    <w:multiLevelType w:val="hybridMultilevel"/>
    <w:tmpl w:val="828CA3A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3E74A6"/>
    <w:multiLevelType w:val="hybridMultilevel"/>
    <w:tmpl w:val="C7CA3C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A0A"/>
    <w:rsid w:val="00045316"/>
    <w:rsid w:val="00676F51"/>
    <w:rsid w:val="00A16C9E"/>
    <w:rsid w:val="00A656FD"/>
    <w:rsid w:val="00B5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C1605"/>
  <w15:docId w15:val="{6B460629-5C97-41F5-B8B0-D9A079B95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4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54A0A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rsid w:val="00B54A0A"/>
    <w:rPr>
      <w:rFonts w:ascii="Arial" w:hAnsi="Arial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B54A0A"/>
    <w:rPr>
      <w:rFonts w:ascii="Arial" w:eastAsia="Times New Roman" w:hAnsi="Arial" w:cs="Times New Roman"/>
      <w:szCs w:val="20"/>
    </w:rPr>
  </w:style>
  <w:style w:type="paragraph" w:styleId="ListParagraph">
    <w:name w:val="List Paragraph"/>
    <w:basedOn w:val="Normal"/>
    <w:uiPriority w:val="34"/>
    <w:qFormat/>
    <w:rsid w:val="00B54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cir@medicareaustralia.gov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Capt Jess Campbell</dc:creator>
  <cp:lastModifiedBy>Robyn Whittaker</cp:lastModifiedBy>
  <cp:revision>3</cp:revision>
  <dcterms:created xsi:type="dcterms:W3CDTF">2020-09-08T02:01:00Z</dcterms:created>
  <dcterms:modified xsi:type="dcterms:W3CDTF">2020-09-08T02:02:00Z</dcterms:modified>
</cp:coreProperties>
</file>